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946e02265d97444c"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116</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(GAL) VALEA BUZĂULUI”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L808 - Investiții și servicii pentru dezvoltarea serviciilor de bază locale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Observații</w:t>
            </w:r>
            <w:r>
              <w:rPr>
                <w:rFonts w:ascii="Cambria" w:hAnsi="Cambria"/>
                <w:b w:val="false"/>
                <w:color w:val="FFFFFF"/>
                <w:sz w:val="24"/>
              </w:rPr>
              <w:t> 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1 - GAL</w:t>
            </w:r>
          </w:p>
        </w:tc>
        <w:tc>
          <w:tcPr>
            <w:vAlign w:val="center"/>
          </w:tcPr>
          <w:p>
            <w:r>
              <w:rPr>
                <w:rFonts w:ascii="Cambria Bold" w:hAnsi="Cambria Bold"/>
                <w:b/>
                <w:color w:val="1B4167"/>
                <w:sz w:val="24"/>
              </w:rPr>
              <w:t>Solicitantul trebuie să se încadreze în categoria beneficiarilor eligibili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obligatorii: Cererea de finanțare, documente care atestă forma de organizare a solicitantului (pentru beneficiari publici - CUI)</w:t>
            </w:r>
          </w:p>
          <w:p>
            <w:pPr>
              <w:spacing w:line="360" w:lineRule="auto"/>
              <w:ind w:left="0" w:right="0" w:firstLine="493"/>
            </w:pPr>
            <w:r>
              <w:rPr>
                <w:rFonts w:ascii="Cambria" w:hAnsi="Cambria"/>
                <w:b w:val="false"/>
                <w:sz w:val="24"/>
              </w:rPr>
              <w:t>Metodologia de verificare: Se verifică în Cererea de Finanțare și în documentele care atestă forma de organizare dacă solicitantul se încadrează în categoria beneficiarilor eligibili prevăzuți în Fișa Intervenției L808 din SDL.</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căsuța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2 - GAL</w:t>
            </w:r>
          </w:p>
        </w:tc>
        <w:tc>
          <w:tcPr>
            <w:vAlign w:val="center"/>
          </w:tcPr>
          <w:p>
            <w:pPr>
              <w:spacing w:line="360" w:lineRule="auto"/>
              <w:ind w:left="0" w:right="0" w:firstLine="493"/>
            </w:pPr>
            <w:r>
              <w:rPr>
                <w:rFonts w:ascii="Cambria Bold" w:hAnsi="Cambria Bold"/>
                <w:b/>
                <w:color w:val="1B4167"/>
                <w:sz w:val="24"/>
              </w:rPr>
              <w:t>Solicitantul nu trebuie să fie în insolvență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obligatorii: Cererea de finanțare - secțiunea F - Declarația pe proprie răspundere a solicitantului </w:t>
            </w:r>
          </w:p>
          <w:p>
            <w:pPr>
              <w:spacing w:line="360" w:lineRule="auto"/>
              <w:ind w:left="0" w:right="0" w:firstLine="493"/>
            </w:pPr>
            <w:r>
              <w:rPr>
                <w:rFonts w:ascii="Cambria" w:hAnsi="Cambria"/>
                <w:b w:val="false"/>
                <w:sz w:val="24"/>
              </w:rPr>
              <w:t>Metodologie de verificare: Expertul verifică dacă solicitantul și-a asumat prin semnătuă declarația pe propria răspundere din secțiunea F din Cererea de finanțare prin care acesta declară: Declar pe propria răspundere că nu sunt în insolvență.</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3 - GAL</w:t>
            </w:r>
          </w:p>
        </w:tc>
        <w:tc>
          <w:tcPr>
            <w:vAlign w:val="center"/>
          </w:tcPr>
          <w:p>
            <w:r>
              <w:rPr>
                <w:rFonts w:ascii="Cambria Bold" w:hAnsi="Cambria Bold"/>
                <w:b/>
                <w:color w:val="1B4167"/>
                <w:sz w:val="24"/>
              </w:rPr>
              <w:t>Solicitantul se angajează să asigure întreținerea/mentenanța investiției pe o perioadă de minim 3 ani (5 ani pentru proiectele care prevăd construcții + montaj), de la finalizarea ultimei cereri de plată</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obligatorii: Cererea de finanțare, Studiul de Fezabilitate/Memoriu justificativ/DALI, Hotărâre Consiliului Local pentru implementarea proiectului</w:t>
            </w:r>
          </w:p>
          <w:p>
            <w:pPr>
              <w:spacing w:line="360" w:lineRule="auto"/>
              <w:ind w:left="0" w:right="0" w:firstLine="493"/>
            </w:pPr>
            <w:r>
              <w:rPr>
                <w:rFonts w:ascii="Cambria" w:hAnsi="Cambria"/>
                <w:b w:val="false"/>
                <w:sz w:val="24"/>
              </w:rPr>
              <w:t>Metodologie de verificare: Expertul verifică daca solicitantul se angajează să asigure întreținerea/mentenanța investiției  pe o perioadă de minim 3 ani (5 ani pentru proiectele care prevăd construcții+montaj) de la finalizarea ultimei cereri de plată. </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4 - GAL</w:t>
            </w:r>
          </w:p>
        </w:tc>
        <w:tc>
          <w:tcPr>
            <w:vAlign w:val="center"/>
          </w:tcPr>
          <w:p>
            <w:r>
              <w:rPr>
                <w:rFonts w:ascii="Cambria Bold" w:hAnsi="Cambria Bold"/>
                <w:b/>
                <w:color w:val="1B4167"/>
                <w:sz w:val="24"/>
              </w:rPr>
              <w:t>Investiția trebuie să se încadreze în tipul de sprijin prevăzut prin intervenție</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verificate: Cererea de finanțare, Studiul de Fezabilitate/Memoriu justificativ/DALI</w:t>
            </w:r>
          </w:p>
          <w:p>
            <w:pPr>
              <w:spacing w:line="360" w:lineRule="auto"/>
              <w:ind w:left="0" w:right="0" w:firstLine="493"/>
            </w:pPr>
            <w:r>
              <w:rPr>
                <w:rFonts w:ascii="Cambria" w:hAnsi="Cambria"/>
                <w:b w:val="false"/>
                <w:sz w:val="24"/>
              </w:rPr>
              <w:t>Metodologie de verificare: Se va verifica dacă acțiunile/activitățile ce urmează a fi desfășurate în cadrul proiectului vor contribui la promovarea ocupării forței de muncă, a creșterii economice, a egalității de gen, inclusiv a participării femeilor la agricultură, a incluziunii sociale și a dezvoltării locale în zonele rurale, inclusiv a bioeconomiei circulare și a silviculturii durabile, realizându-se astfel îndeplinirea indicatorului de rezultat  R41PR.</w:t>
            </w:r>
          </w:p>
          <w:p>
            <w:pPr>
              <w:spacing w:line="360" w:lineRule="auto"/>
              <w:ind w:left="0" w:right="0" w:firstLine="493"/>
            </w:pPr>
            <w:r>
              <w:rPr>
                <w:rFonts w:ascii="Cambria" w:hAnsi="Cambria"/>
                <w:b w:val="false"/>
                <w:sz w:val="24"/>
              </w:rPr>
              <w:t>De asemenea, se verifică dacă proiectul/acțiunile propuse de beneficiar în Cererea de Finanțare, respectiv documentația tehnică a proiectului, se regăsesc în lista de activități eligibile din cadrul Ghidului Solicitantului de la Capitolul - ”Tipuri de investiții/servicii și cheltuieli eligibile”</w:t>
            </w:r>
          </w:p>
          <w:p>
            <w:r>
              <w:rPr>
                <w:rFonts w:ascii="Cambria" w:hAnsi="Cambria"/>
                <w:b w:val="false"/>
                <w:sz w:val="24"/>
              </w:rPr>
              <w:t>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 Se verifică, în baza informațiilor din Cererea de Finanțare, dacă investiția se încadrează în tipul de sprijin prevăzut prin intervenție.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5 - GAL</w:t>
            </w:r>
          </w:p>
        </w:tc>
        <w:tc>
          <w:tcPr>
            <w:vAlign w:val="center"/>
          </w:tcPr>
          <w:p>
            <w:r>
              <w:rPr>
                <w:rFonts w:ascii="Cambria Bold" w:hAnsi="Cambria Bold"/>
                <w:b/>
                <w:color w:val="1B4167"/>
                <w:sz w:val="24"/>
              </w:rPr>
              <w:t>Solicitanții nu au datorii la bugetul general consolidat și la bugetele locale, atât pentru sediul social, cât și pentru toate punctele de lucru (dacă este cazul)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verificare: Cererea de Finanțare - Declarația F pe propria răspundere a solicitantului </w:t>
            </w:r>
          </w:p>
          <w:p>
            <w:pPr>
              <w:spacing w:line="360" w:lineRule="auto"/>
              <w:ind w:left="0" w:right="0" w:firstLine="493"/>
            </w:pPr>
            <w:r>
              <w:rPr>
                <w:rFonts w:ascii="Cambria" w:hAnsi="Cambria"/>
                <w:b w:val="false"/>
                <w:sz w:val="24"/>
              </w:rPr>
              <w:t>Metodologie de verificare: Evaluatorul va verifica, în baza informațiilor din Cererea de Finanțare dacă solicitantul a bifat corespunzător. 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6 - GAL  </w:t>
            </w:r>
          </w:p>
        </w:tc>
        <w:tc>
          <w:tcPr>
            <w:vAlign w:val="center"/>
          </w:tcPr>
          <w:p>
            <w:r>
              <w:rPr>
                <w:rFonts w:ascii="Cambria Bold" w:hAnsi="Cambria Bold"/>
                <w:b/>
                <w:color w:val="1B4167"/>
                <w:sz w:val="24"/>
              </w:rPr>
              <w:t>Solicitantul nu a beneficiat de alocații financiare nerambursabile similare;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verificate: Declarația F pe propria răspundere din Cererea de Finanțare, Raport asupra utilizării programelor de finanțare nerambursabilă</w:t>
            </w:r>
          </w:p>
          <w:p>
            <w:pPr>
              <w:spacing w:line="360" w:lineRule="auto"/>
              <w:ind w:left="0" w:right="0" w:firstLine="493"/>
            </w:pPr>
            <w:r>
              <w:rPr>
                <w:rFonts w:ascii="Cambria" w:hAnsi="Cambria"/>
                <w:b w:val="false"/>
                <w:sz w:val="24"/>
              </w:rPr>
              <w:t>Metodologie de verificare: Evaluatorul va verifica, în baza informațiilor din Cererea de Finanțare dacă solicitantul a bifat corespunzător. De asemenea, va verifica dacă solicitantul a anexat Raportul asupra utilizării programelor de finanțare nerambursabilă.  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7 - GAL</w:t>
            </w:r>
          </w:p>
        </w:tc>
        <w:tc>
          <w:tcPr>
            <w:vAlign w:val="center"/>
          </w:tcPr>
          <w:p>
            <w:r>
              <w:rPr>
                <w:rFonts w:ascii="Cambria Bold" w:hAnsi="Cambria Bold"/>
                <w:b/>
                <w:color w:val="1B4167"/>
                <w:sz w:val="24"/>
              </w:rPr>
              <w:t>Solicitanții au sediul social și își desfășoară activitatea pe teritoriul Asociației “Grupul de Acțiune Locală (GAL) Valea Buzăului”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verificate: Cererea de Finanțare, Studiul de Fezabilitate/ Memoriu justificativ/DALI, documentele constitutive ale solicitantului, certificatul constatator ONRC (dacă este cazul)</w:t>
            </w:r>
          </w:p>
          <w:p>
            <w:pPr>
              <w:spacing w:line="360" w:lineRule="auto"/>
              <w:ind w:left="0" w:right="0" w:firstLine="493"/>
            </w:pPr>
            <w:r>
              <w:rPr>
                <w:rFonts w:ascii="Cambria" w:hAnsi="Cambria"/>
                <w:b w:val="false"/>
                <w:sz w:val="24"/>
              </w:rPr>
              <w:t>Metodologia de verificare: Se verifică în cererea de finanțare și în celelalte documente atașate cererii, daca solicitantul are sediul social sau punctul de lucru situat în teritoriul GAL Valea Buzăului. </w:t>
            </w:r>
          </w:p>
          <w:p>
            <w:pPr>
              <w:spacing w:line="360" w:lineRule="auto"/>
              <w:ind w:left="0" w:right="0" w:firstLine="493"/>
            </w:pPr>
            <w:r>
              <w:rPr>
                <w:rFonts w:ascii="Cambria" w:hAnsi="Cambria"/>
                <w:b w:val="false"/>
                <w:sz w:val="24"/>
              </w:rPr>
              <w:t>Dacă verificarea documentelor confirmă acest fapt, se va bifa caseta DA pentru verificare. În caz contrar, experții GAL bifează caseta din coloana NU și motivează poziția în rubrica OBSERVAȚII, criteriul de eligibilitate nefiind îndeplinit, iar 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8 - GAL</w:t>
            </w:r>
          </w:p>
        </w:tc>
        <w:tc>
          <w:tcPr>
            <w:vAlign w:val="center"/>
          </w:tcPr>
          <w:p>
            <w:r>
              <w:rPr>
                <w:rFonts w:ascii="Cambria Bold" w:hAnsi="Cambria Bold"/>
                <w:b/>
                <w:color w:val="1B4167"/>
                <w:sz w:val="24"/>
              </w:rPr>
              <w:t>Investiția să se realizeze în teritoriul GAL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verificate: Cererea de Finanțare,  Studiul de Fezabilitate/ Memoriu justificativ/DALI,  Inventarul bunurilor ce aparțin domniului public al comunelor/orașelor întocmit conform legislației în vigoare Metodologia de verificare: Se verifică în cererea de finanțare și în celelalte documente atașate cererii, dacă solicitantul realizează investiția în teritoriul GAL Valea Buzăului.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9 - GAL</w:t>
            </w:r>
          </w:p>
        </w:tc>
        <w:tc>
          <w:tcPr>
            <w:vAlign w:val="center"/>
          </w:tcPr>
          <w:p>
            <w:r>
              <w:rPr>
                <w:rFonts w:ascii="Cambria Bold" w:hAnsi="Cambria Bold"/>
                <w:b/>
                <w:color w:val="1B4167"/>
                <w:sz w:val="24"/>
              </w:rPr>
              <w:t>Solicitantul să nu fie înregistrat în Registrul debitorilor AFIR</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verificate: Cererea de Finanțare, Bazele de date ale AFIR Metodologia de verificare: Se verifică în cererea de finanțare și în celelalte documente atașate cererii, respectiv în bazele de date AFIR dacă solicitantul este înregistrat în Registrul debitorilor AFIR. </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Proiecte clasificate dupa tipul investiției;</w:t>
            </w:r>
          </w:p>
        </w:tc>
        <w:tc>
          <w:tcPr>
            <w:shd w:val="clear" w:color="auto" w:fill="CCE1DB"/>
            <w:vAlign w:val="center"/>
          </w:tcPr>
          <w:p>
            <w:pPr>
              <w:spacing w:line="360" w:lineRule="auto"/>
              <w:ind w:left="0" w:right="0" w:firstLine="493"/>
            </w:pPr>
            <w:r>
              <w:rPr>
                <w:rFonts w:ascii="Cambria Bold" w:hAnsi="Cambria Bold"/>
                <w:b/>
                <w:color w:val="014935"/>
                <w:sz w:val="24"/>
              </w:rPr>
              <w:t>40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w:hAnsi="Cambria"/>
                <w:b w:val="false"/>
                <w:color w:val="58400C"/>
                <w:sz w:val="24"/>
              </w:rPr>
              <w:t>Proiecte ce propun investiții în infrastructură la scară mică</w:t>
            </w:r>
          </w:p>
        </w:tc>
        <w:tc>
          <w:tcPr>
            <w:vAlign w:val="center"/>
          </w:tcPr>
          <w:p>
            <w:pPr>
              <w:keepNext/>
              <w:jc w:val="center"/>
            </w:pPr>
            <w:r>
              <w:rPr>
                <w:rFonts w:ascii="Cambria" w:hAnsi="Cambria"/>
                <w:b w:val="false"/>
                <w:sz w:val="24"/>
              </w:rPr>
              <w:t>40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w:t>
            </w:r>
          </w:p>
          <w:p>
            <w:pPr>
              <w:spacing w:line="360" w:lineRule="auto"/>
              <w:ind w:left="0" w:right="0" w:firstLine="493"/>
            </w:pPr>
            <w:r>
              <w:rPr>
                <w:rFonts w:ascii="Cambria" w:hAnsi="Cambria"/>
                <w:b w:val="false"/>
                <w:sz w:val="24"/>
              </w:rPr>
              <w:t>Solicitantul va fi punctat în baza acestui principiu de selecție în funcție de tipul de investiție vizată în proiect, astfel: 40 puncte pentru investiții în infrastructură la scară mică</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1.2</w:t>
            </w:r>
          </w:p>
        </w:tc>
        <w:tc>
          <w:tcPr>
            <w:shd w:val="clear" w:color="auto" w:fill="F8ECD2"/>
            <w:vAlign w:val="center"/>
          </w:tcPr>
          <w:p>
            <w:r>
              <w:rPr>
                <w:rFonts w:ascii="Cambria" w:hAnsi="Cambria"/>
                <w:b w:val="false"/>
                <w:color w:val="58400C"/>
                <w:sz w:val="24"/>
              </w:rPr>
              <w:t>Proiecte ce propun investiții în achiziția de utilaje</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w:t>
            </w:r>
          </w:p>
          <w:p>
            <w:pPr>
              <w:spacing w:line="360" w:lineRule="auto"/>
              <w:ind w:left="0" w:right="0" w:firstLine="493"/>
            </w:pPr>
            <w:r>
              <w:rPr>
                <w:rFonts w:ascii="Cambria" w:hAnsi="Cambria"/>
                <w:b w:val="false"/>
                <w:sz w:val="24"/>
              </w:rPr>
              <w:t>Solicitantul va fi punctat în baza acestui principiu de selecție în funcție de tipul de investiție vizată în proiect, astfel: 30 puncte pentru investiții în achiziția de utilaje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1.3</w:t>
            </w:r>
          </w:p>
        </w:tc>
        <w:tc>
          <w:tcPr>
            <w:shd w:val="clear" w:color="auto" w:fill="F8ECD2"/>
            <w:vAlign w:val="center"/>
          </w:tcPr>
          <w:p>
            <w:r>
              <w:rPr>
                <w:rFonts w:ascii="Cambria" w:hAnsi="Cambria"/>
                <w:b w:val="false"/>
                <w:color w:val="58400C"/>
                <w:sz w:val="24"/>
              </w:rPr>
              <w:t>Alte tipuri de proiecte</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w:t>
            </w:r>
          </w:p>
          <w:p>
            <w:pPr>
              <w:spacing w:line="360" w:lineRule="auto"/>
              <w:ind w:left="0" w:right="0" w:firstLine="493"/>
            </w:pPr>
            <w:r>
              <w:rPr>
                <w:rFonts w:ascii="Cambria" w:hAnsi="Cambria"/>
                <w:b w:val="false"/>
                <w:sz w:val="24"/>
              </w:rPr>
              <w:t>Solicitantul va fi punctat în baza acestui principiu de selecție în funcție de tipul de investiție vizată în proiect, astfel: 20 puncte pentru alte tipuri de investiții</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cu impact major în comunitate;</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w:t>
            </w:r>
          </w:p>
        </w:tc>
        <w:tc>
          <w:tcPr>
            <w:shd w:val="clear" w:color="auto" w:fill="F8ECD2"/>
            <w:vAlign w:val="center"/>
          </w:tcPr>
          <w:p>
            <w:r>
              <w:rPr>
                <w:rFonts w:ascii="Cambria" w:hAnsi="Cambria"/>
                <w:b w:val="false"/>
                <w:color w:val="58400C"/>
                <w:sz w:val="24"/>
              </w:rPr>
              <w:t>Gradul de acoperire a populației deservite prin proiect este mai mare de 5000 de locuitori</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 Se consideră numărul total de locuitori ai comunei/orașului, tabelul privind numărul total al populației comunei/orașului este conform rezultatului final al recensământului populației locuințelor din anul 2021 (https://www.recensamantromania.ro/rezultate-rpl-2021/rezulatte-definitive/)</w:t>
            </w:r>
          </w:p>
          <w:p>
            <w:pPr>
              <w:spacing w:line="360" w:lineRule="auto"/>
              <w:ind w:left="0" w:right="0" w:firstLine="493"/>
            </w:pPr>
            <w:r>
              <w:rPr>
                <w:rFonts w:ascii="Cambria" w:hAnsi="Cambria"/>
                <w:b w:val="false"/>
                <w:sz w:val="24"/>
              </w:rPr>
              <w:t>Solicitantul va fi punctat în baza acestui principiu de selecție în funcție de gradul de acoperire a populației deservite, astfel: 30 puncte pentru UAT-urile cu o populație mai mare de 5000 de locuitori</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2.2</w:t>
            </w:r>
          </w:p>
        </w:tc>
        <w:tc>
          <w:tcPr>
            <w:shd w:val="clear" w:color="auto" w:fill="F8ECD2"/>
            <w:vAlign w:val="center"/>
          </w:tcPr>
          <w:p>
            <w:r>
              <w:rPr>
                <w:rFonts w:ascii="Cambria" w:hAnsi="Cambria"/>
                <w:b w:val="false"/>
                <w:color w:val="58400C"/>
                <w:sz w:val="24"/>
              </w:rPr>
              <w:t>Gradul de acoperire a populației deservite prin proiect este cuprins între 3000 și 4999 de locuitori </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 Se consideră numărul total de locuitori ai comunei/orașului, tabelul privind numărul total al populației comunei/orașului este conform rezultatului final al recensământului populației locuințelor din anul 2021 (https://www.recensamantromania.ro/rezultate-rpl-2021/rezulatte-definitive/)</w:t>
            </w:r>
          </w:p>
          <w:p>
            <w:pPr>
              <w:spacing w:line="360" w:lineRule="auto"/>
              <w:ind w:left="0" w:right="0" w:firstLine="493"/>
            </w:pPr>
            <w:r>
              <w:rPr>
                <w:rFonts w:ascii="Cambria" w:hAnsi="Cambria"/>
                <w:b w:val="false"/>
                <w:sz w:val="24"/>
              </w:rPr>
              <w:t>Solicitantul va fi punctat în baza acestui principiu de selecție în funcție de gradul de acoperire a populației deservite, astfel: 25 puncte pentru UAT-urile cu o populație cuprinsă între 3000 și 4999 de locuitori</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2.3</w:t>
            </w:r>
          </w:p>
        </w:tc>
        <w:tc>
          <w:tcPr>
            <w:shd w:val="clear" w:color="auto" w:fill="F8ECD2"/>
            <w:vAlign w:val="center"/>
          </w:tcPr>
          <w:p>
            <w:r>
              <w:rPr>
                <w:rFonts w:ascii="Cambria" w:hAnsi="Cambria"/>
                <w:b w:val="false"/>
                <w:color w:val="58400C"/>
                <w:sz w:val="24"/>
              </w:rPr>
              <w:t>Gradul de acoperire a populației deservite prin proiect este mai mic de 2999 locuitori</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 Se consideră numărul total de locuitori ai comunei/orașului, tabelul privind numărul total al populației comunei/orașului este conform rezultatului final al recensământului populației locuințelor din anul 2021 (https://www.recensamantromania.ro/rezultate-rpl-2021/rezulatte-definitive/)</w:t>
            </w:r>
          </w:p>
          <w:p>
            <w:pPr>
              <w:spacing w:line="360" w:lineRule="auto"/>
              <w:ind w:left="0" w:right="0" w:firstLine="493"/>
            </w:pPr>
            <w:r>
              <w:rPr>
                <w:rFonts w:ascii="Cambria" w:hAnsi="Cambria"/>
                <w:b w:val="false"/>
                <w:sz w:val="24"/>
              </w:rPr>
              <w:t>Solicitantul va fi punctat în baza acestui principiu de selecție în funcție de gradul de acoperire a populației deservite, astfel: 20 puncte pentru UAT-urile cu o populație mai mică de 2999 locuitori</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 care cuprind achizitii și dotări cu echipamente specifice energiei verzi, inclusiv biomasa.</w:t>
            </w:r>
          </w:p>
        </w:tc>
        <w:tc>
          <w:tcPr>
            <w:shd w:val="clear" w:color="auto" w:fill="CCE1DB"/>
            <w:vAlign w:val="center"/>
          </w:tcPr>
          <w:p>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w:t>
            </w:r>
          </w:p>
        </w:tc>
        <w:tc>
          <w:tcPr>
            <w:shd w:val="clear" w:color="auto" w:fill="F8ECD2"/>
            <w:vAlign w:val="center"/>
          </w:tcPr>
          <w:p>
            <w:r>
              <w:rPr>
                <w:rFonts w:ascii="Cambria" w:hAnsi="Cambria"/>
                <w:b w:val="false"/>
                <w:color w:val="58400C"/>
                <w:sz w:val="24"/>
              </w:rPr>
              <w:t>Proiecte ce utilizează resurse de energie regenerabilă</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informațiile din CF/SF/DALI/MJ. </w:t>
            </w:r>
          </w:p>
          <w:p>
            <w:pPr>
              <w:spacing w:line="360" w:lineRule="auto"/>
              <w:ind w:left="0" w:right="0" w:firstLine="493"/>
            </w:pPr>
            <w:r>
              <w:rPr>
                <w:rFonts w:ascii="Cambria" w:hAnsi="Cambria"/>
                <w:b w:val="false"/>
                <w:sz w:val="24"/>
              </w:rPr>
              <w:t>Punctajul va fi obținut în cazul în care se utilizează energie regenerabilă în timpul implementării proiectului și/sau exploatării acestuia. Punctajul poate fi obținut doar în cazul în care cel puțin 5% din suma nerambursabilă din proiect este utilizată în investiții ce utilizează resurse de energie regenerabilă. Se verifică Cererea de Finanțare și Studiul de Fezabilitate.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Îndeplinit</w:t>
            </w:r>
            <w:r>
              <w:rPr>
                <w:rFonts w:ascii="Cambria Bold" w:hAnsi="Cambria Bold"/>
                <w:b/>
                <w:color w:val="FFFFFF"/>
                <w:sz w:val="24"/>
              </w:rPr>
              <w:br/>
            </w:r>
            <w:r>
              <w:rPr>
                <w:rFonts w:ascii="Cambria Bold" w:hAnsi="Cambria Bold"/>
                <w:b/>
                <w:color w:val="FFFFFF"/>
                <w:sz w:val="24"/>
              </w:rPr>
              <w:t>DA/NU</w:t>
            </w:r>
          </w:p>
        </w:tc>
        <w:tc>
          <w:tcPr>
            <w:tcW w:w="750" w:type="pct"/>
            <w:shd w:val="clear" w:color="auto" w:fill="015840"/>
            <w:vAlign w:val="center"/>
          </w:tcPr>
          <w:p>
            <w:pPr>
              <w:keepNext/>
              <w:jc w:val="center"/>
            </w:pPr>
            <w:r>
              <w:rPr>
                <w:rFonts w:ascii="Cambria Bold" w:hAnsi="Cambria Bold"/>
                <w:b/>
                <w:color w:val="FFFFFF"/>
                <w:sz w:val="24"/>
              </w:rPr>
              <w:t>Valoare</w:t>
            </w:r>
            <w:r>
              <w:rPr>
                <w:rFonts w:ascii="Cambria Bold" w:hAnsi="Cambria Bold"/>
                <w:b/>
                <w:color w:val="FFFFFF"/>
                <w:sz w:val="24"/>
              </w:rPr>
              <w:br/>
            </w:r>
            <w:r>
              <w:rPr>
                <w:rFonts w:ascii="Cambria Bold" w:hAnsi="Cambria Bold"/>
                <w:b/>
                <w:color w:val="FFFFFF"/>
                <w:sz w:val="24"/>
              </w:rPr>
              <w:t>(dacă este cazul)</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îndeplinirii</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 Valoarea sprijinului nerambursabil</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Motedologia de verificare: În cazul în care există punctaj egal pentru unul sau mai multe proiecte, departajarea acestora se va face în ordinea descrescătoare a valorii sprijinului nerambursabil asumat.</w:t>
            </w:r>
          </w:p>
          <w:p>
            <w:pPr>
              <w:spacing w:line="360" w:lineRule="auto"/>
              <w:ind w:left="0" w:right="0" w:firstLine="493"/>
            </w:pPr>
            <w:r>
              <w:rPr>
                <w:rFonts w:ascii="Cambria" w:hAnsi="Cambria"/>
                <w:b w:val="false"/>
                <w:sz w:val="24"/>
              </w:rPr>
              <w:t>Documente obligatorii: Cerere de finanțare, SF/DALI/PT/MJ</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Durata de implementare</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Metodoligia de verificare: În cazul în care departajarea nu se poate realiza în funcție de criteriul de departajare anterior, departajarea se va face în funcție de durata de implementare a proiectului. Astfel, se va prioritiza proiectul care are o durată de implementare mai scurtă.</w:t>
            </w:r>
          </w:p>
          <w:p>
            <w:pPr>
              <w:spacing w:line="360" w:lineRule="auto"/>
              <w:ind w:left="0" w:right="0" w:firstLine="493"/>
            </w:pPr>
            <w:r>
              <w:rPr>
                <w:rFonts w:ascii="Cambria" w:hAnsi="Cambria"/>
                <w:b w:val="false"/>
                <w:sz w:val="24"/>
              </w:rPr>
              <w:t>Documente obligatorii: Cerere de finanțare, SF/DALI/PT/MJ</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CD3</w:t>
            </w:r>
          </w:p>
        </w:tc>
        <w:tc>
          <w:tcPr>
            <w:shd w:val="clear" w:color="auto" w:fill="F8ECD2"/>
            <w:vAlign w:val="center"/>
          </w:tcPr>
          <w:p>
            <w:r>
              <w:rPr>
                <w:rFonts w:ascii="Cambria" w:hAnsi="Cambria"/>
                <w:b w:val="false"/>
                <w:color w:val="58400C"/>
                <w:sz w:val="24"/>
              </w:rPr>
              <w:t>Gradul de acoperire a populației deservite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Metodoligia de verificare:  În cazul în care departajarea nu se poate realiza în funcție de criteriile anterioare, departajarea se va face în funcție de numărul mai mare de locuitori deserviți prin proiect.</w:t>
            </w:r>
          </w:p>
          <w:p>
            <w:r>
              <w:rPr>
                <w:rFonts w:ascii="Cambria" w:hAnsi="Cambria"/>
                <w:b w:val="false"/>
                <w:sz w:val="24"/>
              </w:rPr>
              <w:t>Documente obligatorii: Cerere de finanțare, SF/DALI/PT/MJ/HCL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8c1d07a5be00421f" /></Relationships>
</file>